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BF78" w14:textId="53FA5413" w:rsidR="00F12C76" w:rsidRDefault="00D647B7" w:rsidP="00D647B7">
      <w:pPr>
        <w:spacing w:after="0"/>
        <w:ind w:firstLine="709"/>
        <w:jc w:val="center"/>
        <w:rPr>
          <w:rFonts w:cs="Times New Roman"/>
          <w:b/>
          <w:sz w:val="52"/>
          <w:szCs w:val="52"/>
          <w:lang w:val="en-US"/>
        </w:rPr>
      </w:pPr>
      <w:bookmarkStart w:id="0" w:name="_GoBack"/>
      <w:bookmarkEnd w:id="0"/>
      <w:r w:rsidRPr="008D0E28">
        <w:rPr>
          <w:rFonts w:cs="Times New Roman"/>
          <w:b/>
          <w:sz w:val="52"/>
          <w:szCs w:val="52"/>
          <w:lang w:val="en-US"/>
        </w:rPr>
        <w:t>THERAPEUTIC USE EXCEPTIONS OF PROHIBITED SUBSTANCES IN SPORTS: BASIC CONDITIONS AND CRITERIA</w:t>
      </w:r>
    </w:p>
    <w:p w14:paraId="45783146" w14:textId="2465FAAD" w:rsidR="00D647B7" w:rsidRDefault="00D647B7" w:rsidP="00D647B7">
      <w:pPr>
        <w:spacing w:after="0"/>
        <w:ind w:firstLine="709"/>
        <w:jc w:val="center"/>
        <w:rPr>
          <w:rFonts w:cs="Times New Roman"/>
          <w:b/>
          <w:sz w:val="52"/>
          <w:szCs w:val="52"/>
          <w:lang w:val="en-US"/>
        </w:rPr>
      </w:pPr>
    </w:p>
    <w:p w14:paraId="774E90BE" w14:textId="77777777" w:rsidR="00D647B7" w:rsidRDefault="00D647B7" w:rsidP="00D647B7">
      <w:pPr>
        <w:spacing w:after="0"/>
        <w:ind w:firstLine="709"/>
        <w:jc w:val="center"/>
        <w:rPr>
          <w:rFonts w:cs="Times New Roman"/>
          <w:b/>
          <w:sz w:val="52"/>
          <w:szCs w:val="52"/>
          <w:lang w:val="en-US"/>
        </w:rPr>
      </w:pPr>
    </w:p>
    <w:p w14:paraId="60D5F586" w14:textId="77777777" w:rsidR="00D647B7" w:rsidRPr="00C26D74" w:rsidRDefault="00D647B7" w:rsidP="00D647B7">
      <w:pPr>
        <w:spacing w:line="259" w:lineRule="auto"/>
        <w:jc w:val="center"/>
        <w:rPr>
          <w:rFonts w:cs="Times New Roman"/>
          <w:b/>
          <w:sz w:val="36"/>
          <w:szCs w:val="36"/>
          <w:lang w:val="en-US"/>
        </w:rPr>
      </w:pPr>
      <w:r w:rsidRPr="00C26D74">
        <w:rPr>
          <w:rFonts w:cs="Times New Roman"/>
          <w:b/>
          <w:sz w:val="36"/>
          <w:szCs w:val="36"/>
          <w:lang w:val="en-US"/>
        </w:rPr>
        <w:t>GUID</w:t>
      </w:r>
      <w:r>
        <w:rPr>
          <w:rFonts w:cs="Times New Roman"/>
          <w:b/>
          <w:sz w:val="36"/>
          <w:szCs w:val="36"/>
          <w:lang w:val="en-US"/>
        </w:rPr>
        <w:t>ANCE</w:t>
      </w:r>
    </w:p>
    <w:p w14:paraId="3D4F9C09" w14:textId="1C13B752" w:rsidR="00D647B7" w:rsidRDefault="00D647B7" w:rsidP="00D647B7">
      <w:pPr>
        <w:spacing w:after="0"/>
        <w:ind w:firstLine="709"/>
        <w:jc w:val="center"/>
        <w:rPr>
          <w:rFonts w:cs="Times New Roman"/>
          <w:b/>
          <w:sz w:val="36"/>
          <w:szCs w:val="36"/>
          <w:lang w:val="en-US"/>
        </w:rPr>
      </w:pPr>
      <w:r w:rsidRPr="00C26D74">
        <w:rPr>
          <w:rFonts w:cs="Times New Roman"/>
          <w:b/>
          <w:sz w:val="36"/>
          <w:szCs w:val="36"/>
          <w:lang w:val="en-US"/>
        </w:rPr>
        <w:t xml:space="preserve">ON OBTAINING THERAPEUTIC USE </w:t>
      </w:r>
      <w:r>
        <w:rPr>
          <w:rFonts w:cs="Times New Roman"/>
          <w:b/>
          <w:sz w:val="36"/>
          <w:szCs w:val="36"/>
          <w:lang w:val="en-US"/>
        </w:rPr>
        <w:t xml:space="preserve">EXEMPTIONS </w:t>
      </w:r>
      <w:r w:rsidRPr="00C26D74">
        <w:rPr>
          <w:rFonts w:cs="Times New Roman"/>
          <w:b/>
          <w:sz w:val="36"/>
          <w:szCs w:val="36"/>
          <w:lang w:val="en-US"/>
        </w:rPr>
        <w:t>OF PROHIBITED SUBSTANCES AND METHODS IN SPORTS</w:t>
      </w:r>
    </w:p>
    <w:p w14:paraId="3B6C86A7" w14:textId="4D76818B" w:rsidR="00D647B7" w:rsidRDefault="00D647B7" w:rsidP="00D647B7">
      <w:pPr>
        <w:spacing w:after="0"/>
        <w:ind w:firstLine="709"/>
        <w:jc w:val="center"/>
        <w:rPr>
          <w:rFonts w:cs="Times New Roman"/>
          <w:b/>
          <w:sz w:val="36"/>
          <w:szCs w:val="36"/>
          <w:lang w:val="en-US"/>
        </w:rPr>
      </w:pPr>
    </w:p>
    <w:p w14:paraId="51652278" w14:textId="77777777" w:rsidR="00D647B7" w:rsidRPr="000C00A5" w:rsidRDefault="00D647B7" w:rsidP="00D647B7">
      <w:pPr>
        <w:autoSpaceDE w:val="0"/>
        <w:autoSpaceDN w:val="0"/>
        <w:adjustRightInd w:val="0"/>
        <w:spacing w:after="0"/>
        <w:rPr>
          <w:rFonts w:cs="Times New Roman"/>
          <w:b/>
          <w:bCs/>
          <w:iCs/>
          <w:sz w:val="24"/>
          <w:szCs w:val="24"/>
          <w:lang w:val="en-US"/>
        </w:rPr>
      </w:pPr>
      <w:r w:rsidRPr="00E733AF">
        <w:rPr>
          <w:rFonts w:cs="Times New Roman"/>
          <w:b/>
          <w:bCs/>
          <w:sz w:val="26"/>
          <w:szCs w:val="26"/>
          <w:lang w:val="en-US"/>
        </w:rPr>
        <w:t>4</w:t>
      </w:r>
      <w:r w:rsidRPr="000C00A5">
        <w:rPr>
          <w:rFonts w:cs="Times New Roman"/>
          <w:b/>
          <w:bCs/>
          <w:sz w:val="24"/>
          <w:szCs w:val="24"/>
          <w:lang w:val="en-US"/>
        </w:rPr>
        <w:t xml:space="preserve">.0 Obtaining a </w:t>
      </w:r>
      <w:r w:rsidRPr="000C00A5">
        <w:rPr>
          <w:rFonts w:cs="Times New Roman"/>
          <w:b/>
          <w:bCs/>
          <w:i/>
          <w:iCs/>
          <w:sz w:val="24"/>
          <w:szCs w:val="24"/>
          <w:lang w:val="en-US"/>
        </w:rPr>
        <w:t>TUE</w:t>
      </w:r>
    </w:p>
    <w:p w14:paraId="2FE83414" w14:textId="77777777" w:rsidR="00D647B7" w:rsidRPr="000C00A5" w:rsidRDefault="00D647B7" w:rsidP="00D647B7">
      <w:pPr>
        <w:autoSpaceDE w:val="0"/>
        <w:autoSpaceDN w:val="0"/>
        <w:adjustRightInd w:val="0"/>
        <w:spacing w:after="0"/>
        <w:rPr>
          <w:rFonts w:cs="Times New Roman"/>
          <w:b/>
          <w:bCs/>
          <w:iCs/>
          <w:sz w:val="24"/>
          <w:szCs w:val="24"/>
          <w:lang w:val="en-US"/>
        </w:rPr>
      </w:pPr>
    </w:p>
    <w:p w14:paraId="7A22BEFA" w14:textId="77777777" w:rsidR="00D647B7" w:rsidRPr="000C00A5" w:rsidRDefault="00D647B7" w:rsidP="00D647B7">
      <w:pPr>
        <w:autoSpaceDE w:val="0"/>
        <w:autoSpaceDN w:val="0"/>
        <w:adjustRightInd w:val="0"/>
        <w:spacing w:after="0"/>
        <w:jc w:val="both"/>
        <w:rPr>
          <w:rFonts w:cs="Times New Roman"/>
          <w:sz w:val="24"/>
          <w:szCs w:val="24"/>
          <w:lang w:val="en-US"/>
        </w:rPr>
      </w:pPr>
      <w:r w:rsidRPr="000C00A5">
        <w:rPr>
          <w:rFonts w:cs="Times New Roman"/>
          <w:sz w:val="24"/>
          <w:szCs w:val="24"/>
          <w:lang w:val="en-US"/>
        </w:rPr>
        <w:t xml:space="preserve">An </w:t>
      </w:r>
      <w:r w:rsidRPr="000C00A5">
        <w:rPr>
          <w:rFonts w:cs="Times New Roman"/>
          <w:i/>
          <w:iCs/>
          <w:sz w:val="24"/>
          <w:szCs w:val="24"/>
          <w:lang w:val="en-US"/>
        </w:rPr>
        <w:t xml:space="preserve">Athlete </w:t>
      </w:r>
      <w:r w:rsidRPr="000C00A5">
        <w:rPr>
          <w:rFonts w:cs="Times New Roman"/>
          <w:sz w:val="24"/>
          <w:szCs w:val="24"/>
          <w:lang w:val="en-US"/>
        </w:rPr>
        <w:t xml:space="preserve">who needs to </w:t>
      </w:r>
      <w:r w:rsidRPr="000C00A5">
        <w:rPr>
          <w:rFonts w:cs="Times New Roman"/>
          <w:i/>
          <w:iCs/>
          <w:sz w:val="24"/>
          <w:szCs w:val="24"/>
          <w:lang w:val="en-US"/>
        </w:rPr>
        <w:t xml:space="preserve">Use </w:t>
      </w:r>
      <w:r w:rsidRPr="000C00A5">
        <w:rPr>
          <w:rFonts w:cs="Times New Roman"/>
          <w:sz w:val="24"/>
          <w:szCs w:val="24"/>
          <w:lang w:val="en-US"/>
        </w:rPr>
        <w:t xml:space="preserve">a </w:t>
      </w:r>
      <w:r w:rsidRPr="000C00A5">
        <w:rPr>
          <w:rFonts w:cs="Times New Roman"/>
          <w:i/>
          <w:iCs/>
          <w:sz w:val="24"/>
          <w:szCs w:val="24"/>
          <w:lang w:val="en-US"/>
        </w:rPr>
        <w:t xml:space="preserve">Prohibited Substance </w:t>
      </w:r>
      <w:r w:rsidRPr="000C00A5">
        <w:rPr>
          <w:rFonts w:cs="Times New Roman"/>
          <w:sz w:val="24"/>
          <w:szCs w:val="24"/>
          <w:lang w:val="en-US"/>
        </w:rPr>
        <w:t xml:space="preserve">or </w:t>
      </w:r>
      <w:r w:rsidRPr="000C00A5">
        <w:rPr>
          <w:rFonts w:cs="Times New Roman"/>
          <w:i/>
          <w:iCs/>
          <w:sz w:val="24"/>
          <w:szCs w:val="24"/>
          <w:lang w:val="en-US"/>
        </w:rPr>
        <w:t xml:space="preserve">Prohibited Method </w:t>
      </w:r>
      <w:r w:rsidRPr="000C00A5">
        <w:rPr>
          <w:rFonts w:cs="Times New Roman"/>
          <w:sz w:val="24"/>
          <w:szCs w:val="24"/>
          <w:lang w:val="en-US"/>
        </w:rPr>
        <w:t xml:space="preserve">for Therapeutic reasons must apply for and obtain a </w:t>
      </w:r>
      <w:r w:rsidRPr="000C00A5">
        <w:rPr>
          <w:rFonts w:cs="Times New Roman"/>
          <w:i/>
          <w:iCs/>
          <w:sz w:val="24"/>
          <w:szCs w:val="24"/>
          <w:lang w:val="en-US"/>
        </w:rPr>
        <w:t xml:space="preserve">TUE </w:t>
      </w:r>
      <w:r w:rsidRPr="000C00A5">
        <w:rPr>
          <w:rFonts w:cs="Times New Roman"/>
          <w:sz w:val="24"/>
          <w:szCs w:val="24"/>
          <w:lang w:val="en-US"/>
        </w:rPr>
        <w:t xml:space="preserve">prior to </w:t>
      </w:r>
      <w:r w:rsidRPr="000C00A5">
        <w:rPr>
          <w:rFonts w:cs="Times New Roman"/>
          <w:i/>
          <w:iCs/>
          <w:sz w:val="24"/>
          <w:szCs w:val="24"/>
          <w:lang w:val="en-US"/>
        </w:rPr>
        <w:t xml:space="preserve">Using </w:t>
      </w:r>
      <w:r w:rsidRPr="000C00A5">
        <w:rPr>
          <w:rFonts w:cs="Times New Roman"/>
          <w:sz w:val="24"/>
          <w:szCs w:val="24"/>
          <w:lang w:val="en-US"/>
        </w:rPr>
        <w:t xml:space="preserve">or </w:t>
      </w:r>
      <w:r w:rsidRPr="000C00A5">
        <w:rPr>
          <w:rFonts w:cs="Times New Roman"/>
          <w:i/>
          <w:iCs/>
          <w:sz w:val="24"/>
          <w:szCs w:val="24"/>
          <w:lang w:val="en-US"/>
        </w:rPr>
        <w:t xml:space="preserve">Possessing </w:t>
      </w:r>
      <w:r w:rsidRPr="000C00A5">
        <w:rPr>
          <w:rFonts w:cs="Times New Roman"/>
          <w:sz w:val="24"/>
          <w:szCs w:val="24"/>
          <w:lang w:val="en-US"/>
        </w:rPr>
        <w:t xml:space="preserve">the substance or method in question, unless the </w:t>
      </w:r>
      <w:r w:rsidRPr="000C00A5">
        <w:rPr>
          <w:rFonts w:cs="Times New Roman"/>
          <w:i/>
          <w:iCs/>
          <w:sz w:val="24"/>
          <w:szCs w:val="24"/>
          <w:lang w:val="en-US"/>
        </w:rPr>
        <w:t xml:space="preserve">Athlete </w:t>
      </w:r>
      <w:r w:rsidRPr="000C00A5">
        <w:rPr>
          <w:rFonts w:cs="Times New Roman"/>
          <w:sz w:val="24"/>
          <w:szCs w:val="24"/>
          <w:lang w:val="en-US"/>
        </w:rPr>
        <w:t xml:space="preserve">is entitled to apply for a </w:t>
      </w:r>
      <w:r w:rsidRPr="000C00A5">
        <w:rPr>
          <w:rFonts w:cs="Times New Roman"/>
          <w:i/>
          <w:iCs/>
          <w:sz w:val="24"/>
          <w:szCs w:val="24"/>
          <w:lang w:val="en-US"/>
        </w:rPr>
        <w:t xml:space="preserve">TUE </w:t>
      </w:r>
      <w:r w:rsidRPr="000C00A5">
        <w:rPr>
          <w:rFonts w:cs="Times New Roman"/>
          <w:sz w:val="24"/>
          <w:szCs w:val="24"/>
          <w:lang w:val="en-US"/>
        </w:rPr>
        <w:t>retroactively under Article 4.1. In both cases, the Article 4.2 conditions must be satisfied.</w:t>
      </w:r>
    </w:p>
    <w:p w14:paraId="22056340" w14:textId="77777777" w:rsidR="00D647B7" w:rsidRPr="000C00A5" w:rsidRDefault="00D647B7" w:rsidP="00D647B7">
      <w:pPr>
        <w:autoSpaceDE w:val="0"/>
        <w:autoSpaceDN w:val="0"/>
        <w:adjustRightInd w:val="0"/>
        <w:spacing w:after="0"/>
        <w:jc w:val="both"/>
        <w:rPr>
          <w:rFonts w:cs="Times New Roman"/>
          <w:sz w:val="24"/>
          <w:szCs w:val="24"/>
          <w:lang w:val="en-US"/>
        </w:rPr>
      </w:pPr>
    </w:p>
    <w:p w14:paraId="43BD4D6A" w14:textId="77777777" w:rsidR="00D647B7" w:rsidRPr="000C00A5" w:rsidRDefault="00D647B7" w:rsidP="00D647B7">
      <w:pPr>
        <w:autoSpaceDE w:val="0"/>
        <w:autoSpaceDN w:val="0"/>
        <w:adjustRightInd w:val="0"/>
        <w:spacing w:after="0"/>
        <w:ind w:left="715" w:hanging="6"/>
        <w:jc w:val="both"/>
        <w:rPr>
          <w:rFonts w:cs="Times New Roman"/>
          <w:iCs/>
          <w:sz w:val="24"/>
          <w:szCs w:val="24"/>
          <w:lang w:val="en-US"/>
        </w:rPr>
      </w:pPr>
      <w:r w:rsidRPr="000C00A5">
        <w:rPr>
          <w:rFonts w:cs="Times New Roman"/>
          <w:i/>
          <w:iCs/>
          <w:sz w:val="24"/>
          <w:szCs w:val="24"/>
          <w:lang w:val="en-US"/>
        </w:rPr>
        <w:t>[Comment to Article 4.0: There may be situations where an Athlete has a medical condition and is Using or Possessing a Prohibited Substance or Prohibited Method prior to becoming subject to antidoping rules. In that case, such prior Use/Possession does not require a TUE and a prospective TUE will be sufficient.]</w:t>
      </w:r>
    </w:p>
    <w:p w14:paraId="504FBA11" w14:textId="77777777" w:rsidR="00D647B7" w:rsidRPr="000C00A5" w:rsidRDefault="00D647B7" w:rsidP="00D647B7">
      <w:pPr>
        <w:autoSpaceDE w:val="0"/>
        <w:autoSpaceDN w:val="0"/>
        <w:adjustRightInd w:val="0"/>
        <w:spacing w:after="0"/>
        <w:ind w:left="715" w:hanging="6"/>
        <w:rPr>
          <w:rFonts w:cs="Times New Roman"/>
          <w:iCs/>
          <w:sz w:val="24"/>
          <w:szCs w:val="24"/>
          <w:lang w:val="en-US"/>
        </w:rPr>
      </w:pPr>
    </w:p>
    <w:p w14:paraId="1DA200DC" w14:textId="77777777" w:rsidR="00D647B7" w:rsidRPr="000C00A5" w:rsidRDefault="00D647B7" w:rsidP="00D647B7">
      <w:pPr>
        <w:jc w:val="center"/>
        <w:rPr>
          <w:rFonts w:cs="Times New Roman"/>
          <w:b/>
          <w:sz w:val="24"/>
          <w:szCs w:val="24"/>
          <w:lang w:val="uz-Latn-UZ"/>
        </w:rPr>
      </w:pPr>
      <w:r w:rsidRPr="000C00A5">
        <w:rPr>
          <w:rFonts w:cs="Times New Roman"/>
          <w:b/>
          <w:sz w:val="24"/>
          <w:szCs w:val="24"/>
          <w:lang w:val="uz-Latn-UZ"/>
        </w:rPr>
        <w:t>THE INTERNATIONAL STANDARD FOR THERAPEUTIC USE EXEMPTIONS. ARTICLE 4.1</w:t>
      </w:r>
    </w:p>
    <w:p w14:paraId="6B07B3DD" w14:textId="77777777" w:rsidR="00D647B7" w:rsidRPr="000C00A5" w:rsidRDefault="00D647B7" w:rsidP="00D647B7">
      <w:pPr>
        <w:jc w:val="center"/>
        <w:rPr>
          <w:rFonts w:cs="Times New Roman"/>
          <w:sz w:val="24"/>
          <w:szCs w:val="24"/>
          <w:lang w:val="uz-Latn-UZ"/>
        </w:rPr>
      </w:pPr>
      <w:r w:rsidRPr="000C00A5">
        <w:rPr>
          <w:rFonts w:cs="Times New Roman"/>
          <w:b/>
          <w:sz w:val="24"/>
          <w:szCs w:val="24"/>
          <w:lang w:val="uz-Latn-UZ"/>
        </w:rPr>
        <w:t>OBTAINING RETROACTIVE THERAPEUTIC USE EXEMPTIONS</w:t>
      </w:r>
    </w:p>
    <w:p w14:paraId="218C0B1D" w14:textId="77777777" w:rsidR="00D647B7" w:rsidRPr="000C00A5" w:rsidRDefault="00D647B7" w:rsidP="00D647B7">
      <w:pPr>
        <w:autoSpaceDE w:val="0"/>
        <w:autoSpaceDN w:val="0"/>
        <w:adjustRightInd w:val="0"/>
        <w:spacing w:after="0"/>
        <w:rPr>
          <w:rFonts w:cs="Times New Roman"/>
          <w:sz w:val="24"/>
          <w:szCs w:val="24"/>
          <w:lang w:val="uz-Latn-UZ"/>
        </w:rPr>
      </w:pPr>
    </w:p>
    <w:p w14:paraId="14932BAF" w14:textId="77777777" w:rsidR="00D647B7" w:rsidRPr="000C00A5" w:rsidRDefault="00D647B7" w:rsidP="00D647B7">
      <w:pPr>
        <w:autoSpaceDE w:val="0"/>
        <w:autoSpaceDN w:val="0"/>
        <w:adjustRightInd w:val="0"/>
        <w:spacing w:after="0"/>
        <w:jc w:val="both"/>
        <w:rPr>
          <w:rFonts w:cs="Times New Roman"/>
          <w:sz w:val="24"/>
          <w:szCs w:val="24"/>
          <w:lang w:val="uz-Latn-UZ"/>
        </w:rPr>
      </w:pPr>
      <w:r w:rsidRPr="000C00A5">
        <w:rPr>
          <w:rFonts w:cs="Times New Roman"/>
          <w:sz w:val="24"/>
          <w:szCs w:val="24"/>
          <w:lang w:val="uz-Latn-UZ"/>
        </w:rPr>
        <w:t>4.1 A retroactive TUE provides an Athlete the opportunity to apply for a TUE for a Prohibited Substance or Prohibited Method after Using or Possessing the substance or method in question.</w:t>
      </w:r>
    </w:p>
    <w:p w14:paraId="6CFF8B60" w14:textId="77777777" w:rsidR="00D647B7" w:rsidRPr="000C00A5" w:rsidRDefault="00D647B7" w:rsidP="00D647B7">
      <w:pPr>
        <w:autoSpaceDE w:val="0"/>
        <w:autoSpaceDN w:val="0"/>
        <w:adjustRightInd w:val="0"/>
        <w:spacing w:before="200"/>
        <w:jc w:val="both"/>
        <w:rPr>
          <w:rFonts w:cs="Times New Roman"/>
          <w:sz w:val="24"/>
          <w:szCs w:val="24"/>
          <w:lang w:val="en-US"/>
        </w:rPr>
      </w:pPr>
      <w:r w:rsidRPr="000C00A5">
        <w:rPr>
          <w:rFonts w:cs="Times New Roman"/>
          <w:sz w:val="24"/>
          <w:szCs w:val="24"/>
          <w:lang w:val="en-US"/>
        </w:rPr>
        <w:t xml:space="preserve">An </w:t>
      </w:r>
      <w:r w:rsidRPr="000C00A5">
        <w:rPr>
          <w:rFonts w:cs="Times New Roman"/>
          <w:i/>
          <w:iCs/>
          <w:sz w:val="24"/>
          <w:szCs w:val="24"/>
          <w:lang w:val="en-US"/>
        </w:rPr>
        <w:t xml:space="preserve">Athlete </w:t>
      </w:r>
      <w:r w:rsidRPr="000C00A5">
        <w:rPr>
          <w:rFonts w:cs="Times New Roman"/>
          <w:sz w:val="24"/>
          <w:szCs w:val="24"/>
          <w:lang w:val="en-US"/>
        </w:rPr>
        <w:t xml:space="preserve">may apply retroactively for a </w:t>
      </w:r>
      <w:r w:rsidRPr="000C00A5">
        <w:rPr>
          <w:rFonts w:cs="Times New Roman"/>
          <w:i/>
          <w:iCs/>
          <w:sz w:val="24"/>
          <w:szCs w:val="24"/>
          <w:lang w:val="en-US"/>
        </w:rPr>
        <w:t xml:space="preserve">TUE </w:t>
      </w:r>
      <w:r w:rsidRPr="000C00A5">
        <w:rPr>
          <w:rFonts w:cs="Times New Roman"/>
          <w:sz w:val="24"/>
          <w:szCs w:val="24"/>
          <w:lang w:val="en-US"/>
        </w:rPr>
        <w:t>(but must still meet the conditions in Article 4.2) if any one of the following exceptions applies:</w:t>
      </w:r>
    </w:p>
    <w:p w14:paraId="2292C190" w14:textId="77777777" w:rsidR="00D647B7" w:rsidRPr="000C00A5" w:rsidRDefault="00D647B7" w:rsidP="00D647B7">
      <w:pPr>
        <w:pStyle w:val="a3"/>
        <w:numPr>
          <w:ilvl w:val="0"/>
          <w:numId w:val="1"/>
        </w:numPr>
        <w:autoSpaceDE w:val="0"/>
        <w:autoSpaceDN w:val="0"/>
        <w:adjustRightInd w:val="0"/>
        <w:spacing w:after="0"/>
        <w:ind w:left="714" w:hanging="357"/>
        <w:jc w:val="both"/>
        <w:rPr>
          <w:rFonts w:ascii="Times New Roman" w:hAnsi="Times New Roman" w:cs="Times New Roman"/>
          <w:sz w:val="24"/>
          <w:szCs w:val="24"/>
          <w:lang w:val="en-US"/>
        </w:rPr>
      </w:pPr>
      <w:r w:rsidRPr="000C00A5">
        <w:rPr>
          <w:rFonts w:ascii="Times New Roman" w:hAnsi="Times New Roman" w:cs="Times New Roman"/>
          <w:sz w:val="24"/>
          <w:szCs w:val="24"/>
          <w:lang w:val="en-US"/>
        </w:rPr>
        <w:t>Emergency or urgent treatment of a medical condition was necessary;</w:t>
      </w:r>
    </w:p>
    <w:p w14:paraId="73186323" w14:textId="77777777" w:rsidR="00D647B7" w:rsidRPr="000C00A5" w:rsidRDefault="00D647B7" w:rsidP="00D647B7">
      <w:pPr>
        <w:pStyle w:val="a3"/>
        <w:numPr>
          <w:ilvl w:val="0"/>
          <w:numId w:val="1"/>
        </w:numPr>
        <w:autoSpaceDE w:val="0"/>
        <w:autoSpaceDN w:val="0"/>
        <w:adjustRightInd w:val="0"/>
        <w:spacing w:before="200"/>
        <w:ind w:left="714" w:hanging="357"/>
        <w:contextualSpacing w:val="0"/>
        <w:jc w:val="both"/>
        <w:rPr>
          <w:rFonts w:ascii="Times New Roman" w:hAnsi="Times New Roman" w:cs="Times New Roman"/>
          <w:sz w:val="24"/>
          <w:szCs w:val="24"/>
          <w:lang w:val="en-US"/>
        </w:rPr>
      </w:pPr>
      <w:r w:rsidRPr="000C00A5">
        <w:rPr>
          <w:rFonts w:ascii="Times New Roman" w:hAnsi="Times New Roman" w:cs="Times New Roman"/>
          <w:sz w:val="24"/>
          <w:szCs w:val="24"/>
          <w:lang w:val="en-US"/>
        </w:rPr>
        <w:t xml:space="preserve">There was insufficient time, opportunity or other exceptional circumstances that prevented the </w:t>
      </w:r>
      <w:r w:rsidRPr="000C00A5">
        <w:rPr>
          <w:rFonts w:ascii="Times New Roman" w:hAnsi="Times New Roman" w:cs="Times New Roman"/>
          <w:i/>
          <w:iCs/>
          <w:sz w:val="24"/>
          <w:szCs w:val="24"/>
          <w:lang w:val="en-US"/>
        </w:rPr>
        <w:t xml:space="preserve">Athlete </w:t>
      </w:r>
      <w:r w:rsidRPr="000C00A5">
        <w:rPr>
          <w:rFonts w:ascii="Times New Roman" w:hAnsi="Times New Roman" w:cs="Times New Roman"/>
          <w:sz w:val="24"/>
          <w:szCs w:val="24"/>
          <w:lang w:val="en-US"/>
        </w:rPr>
        <w:t xml:space="preserve">from submitting (or the TUEC to consider) an application for the </w:t>
      </w:r>
      <w:r w:rsidRPr="000C00A5">
        <w:rPr>
          <w:rFonts w:ascii="Times New Roman" w:hAnsi="Times New Roman" w:cs="Times New Roman"/>
          <w:i/>
          <w:iCs/>
          <w:sz w:val="24"/>
          <w:szCs w:val="24"/>
          <w:lang w:val="en-US"/>
        </w:rPr>
        <w:t xml:space="preserve">TUE </w:t>
      </w:r>
      <w:r w:rsidRPr="000C00A5">
        <w:rPr>
          <w:rFonts w:ascii="Times New Roman" w:hAnsi="Times New Roman" w:cs="Times New Roman"/>
          <w:sz w:val="24"/>
          <w:szCs w:val="24"/>
          <w:lang w:val="en-US"/>
        </w:rPr>
        <w:t xml:space="preserve">prior to </w:t>
      </w:r>
      <w:r w:rsidRPr="000C00A5">
        <w:rPr>
          <w:rFonts w:ascii="Times New Roman" w:hAnsi="Times New Roman" w:cs="Times New Roman"/>
          <w:i/>
          <w:iCs/>
          <w:sz w:val="24"/>
          <w:szCs w:val="24"/>
          <w:lang w:val="en-US"/>
        </w:rPr>
        <w:t xml:space="preserve">Sample </w:t>
      </w:r>
      <w:r w:rsidRPr="000C00A5">
        <w:rPr>
          <w:rFonts w:ascii="Times New Roman" w:hAnsi="Times New Roman" w:cs="Times New Roman"/>
          <w:sz w:val="24"/>
          <w:szCs w:val="24"/>
          <w:lang w:val="en-US"/>
        </w:rPr>
        <w:t>collection;</w:t>
      </w:r>
    </w:p>
    <w:p w14:paraId="09A02DE7" w14:textId="77777777" w:rsidR="00D647B7" w:rsidRPr="000C00A5" w:rsidRDefault="00D647B7" w:rsidP="00D647B7">
      <w:pPr>
        <w:pStyle w:val="a3"/>
        <w:numPr>
          <w:ilvl w:val="0"/>
          <w:numId w:val="1"/>
        </w:numPr>
        <w:autoSpaceDE w:val="0"/>
        <w:autoSpaceDN w:val="0"/>
        <w:adjustRightInd w:val="0"/>
        <w:spacing w:after="0"/>
        <w:ind w:left="714" w:hanging="357"/>
        <w:jc w:val="both"/>
        <w:rPr>
          <w:rFonts w:ascii="Times New Roman" w:hAnsi="Times New Roman" w:cs="Times New Roman"/>
          <w:sz w:val="24"/>
          <w:szCs w:val="24"/>
          <w:lang w:val="en-US"/>
        </w:rPr>
      </w:pPr>
      <w:r w:rsidRPr="000C00A5">
        <w:rPr>
          <w:rFonts w:ascii="Times New Roman" w:hAnsi="Times New Roman" w:cs="Times New Roman"/>
          <w:sz w:val="24"/>
          <w:szCs w:val="24"/>
          <w:lang w:val="en-US"/>
        </w:rPr>
        <w:lastRenderedPageBreak/>
        <w:t xml:space="preserve">Due to national level prioritization of certain sports or disciplines, the </w:t>
      </w:r>
      <w:r w:rsidRPr="000C00A5">
        <w:rPr>
          <w:rFonts w:ascii="Times New Roman" w:hAnsi="Times New Roman" w:cs="Times New Roman"/>
          <w:i/>
          <w:iCs/>
          <w:sz w:val="24"/>
          <w:szCs w:val="24"/>
          <w:lang w:val="en-US"/>
        </w:rPr>
        <w:t xml:space="preserve">Athlete’s National Anti-Doping Organization </w:t>
      </w:r>
      <w:r w:rsidRPr="000C00A5">
        <w:rPr>
          <w:rFonts w:ascii="Times New Roman" w:hAnsi="Times New Roman" w:cs="Times New Roman"/>
          <w:sz w:val="24"/>
          <w:szCs w:val="24"/>
          <w:lang w:val="en-US"/>
        </w:rPr>
        <w:t xml:space="preserve">did not permit or require the </w:t>
      </w:r>
      <w:r w:rsidRPr="000C00A5">
        <w:rPr>
          <w:rFonts w:ascii="Times New Roman" w:hAnsi="Times New Roman" w:cs="Times New Roman"/>
          <w:i/>
          <w:iCs/>
          <w:sz w:val="24"/>
          <w:szCs w:val="24"/>
          <w:lang w:val="en-US"/>
        </w:rPr>
        <w:t xml:space="preserve">Athlete </w:t>
      </w:r>
      <w:r w:rsidRPr="000C00A5">
        <w:rPr>
          <w:rFonts w:ascii="Times New Roman" w:hAnsi="Times New Roman" w:cs="Times New Roman"/>
          <w:sz w:val="24"/>
          <w:szCs w:val="24"/>
          <w:lang w:val="en-US"/>
        </w:rPr>
        <w:t xml:space="preserve">to apply for a prospective </w:t>
      </w:r>
      <w:r w:rsidRPr="000C00A5">
        <w:rPr>
          <w:rFonts w:ascii="Times New Roman" w:hAnsi="Times New Roman" w:cs="Times New Roman"/>
          <w:i/>
          <w:iCs/>
          <w:sz w:val="24"/>
          <w:szCs w:val="24"/>
          <w:lang w:val="en-US"/>
        </w:rPr>
        <w:t xml:space="preserve">TUE </w:t>
      </w:r>
      <w:r w:rsidRPr="000C00A5">
        <w:rPr>
          <w:rFonts w:ascii="Times New Roman" w:hAnsi="Times New Roman" w:cs="Times New Roman"/>
          <w:sz w:val="24"/>
          <w:szCs w:val="24"/>
          <w:lang w:val="en-US"/>
        </w:rPr>
        <w:t>(see comment to Article 5.1);</w:t>
      </w:r>
    </w:p>
    <w:p w14:paraId="610DB7E1" w14:textId="77777777" w:rsidR="00D647B7" w:rsidRPr="000C00A5" w:rsidRDefault="00D647B7" w:rsidP="00D647B7">
      <w:pPr>
        <w:pStyle w:val="a3"/>
        <w:numPr>
          <w:ilvl w:val="0"/>
          <w:numId w:val="1"/>
        </w:numPr>
        <w:autoSpaceDE w:val="0"/>
        <w:autoSpaceDN w:val="0"/>
        <w:adjustRightInd w:val="0"/>
        <w:spacing w:before="200"/>
        <w:ind w:left="714" w:hanging="357"/>
        <w:contextualSpacing w:val="0"/>
        <w:jc w:val="both"/>
        <w:rPr>
          <w:rFonts w:ascii="Times New Roman" w:hAnsi="Times New Roman" w:cs="Times New Roman"/>
          <w:sz w:val="24"/>
          <w:szCs w:val="24"/>
          <w:lang w:val="en-US"/>
        </w:rPr>
      </w:pPr>
      <w:r w:rsidRPr="000C00A5">
        <w:rPr>
          <w:rFonts w:ascii="Times New Roman" w:hAnsi="Times New Roman" w:cs="Times New Roman"/>
          <w:sz w:val="24"/>
          <w:szCs w:val="24"/>
          <w:lang w:val="en-US"/>
        </w:rPr>
        <w:t xml:space="preserve">If an </w:t>
      </w:r>
      <w:r w:rsidRPr="000C00A5">
        <w:rPr>
          <w:rFonts w:ascii="Times New Roman" w:hAnsi="Times New Roman" w:cs="Times New Roman"/>
          <w:i/>
          <w:iCs/>
          <w:sz w:val="24"/>
          <w:szCs w:val="24"/>
          <w:lang w:val="en-US"/>
        </w:rPr>
        <w:t xml:space="preserve">Anti-Doping Organization </w:t>
      </w:r>
      <w:r w:rsidRPr="000C00A5">
        <w:rPr>
          <w:rFonts w:ascii="Times New Roman" w:hAnsi="Times New Roman" w:cs="Times New Roman"/>
          <w:sz w:val="24"/>
          <w:szCs w:val="24"/>
          <w:lang w:val="en-US"/>
        </w:rPr>
        <w:t xml:space="preserve">chooses to collect a </w:t>
      </w:r>
      <w:r w:rsidRPr="000C00A5">
        <w:rPr>
          <w:rFonts w:ascii="Times New Roman" w:hAnsi="Times New Roman" w:cs="Times New Roman"/>
          <w:i/>
          <w:iCs/>
          <w:sz w:val="24"/>
          <w:szCs w:val="24"/>
          <w:lang w:val="en-US"/>
        </w:rPr>
        <w:t xml:space="preserve">Sample </w:t>
      </w:r>
      <w:r w:rsidRPr="000C00A5">
        <w:rPr>
          <w:rFonts w:ascii="Times New Roman" w:hAnsi="Times New Roman" w:cs="Times New Roman"/>
          <w:sz w:val="24"/>
          <w:szCs w:val="24"/>
          <w:lang w:val="en-US"/>
        </w:rPr>
        <w:t xml:space="preserve">from an </w:t>
      </w:r>
      <w:r w:rsidRPr="000C00A5">
        <w:rPr>
          <w:rFonts w:ascii="Times New Roman" w:hAnsi="Times New Roman" w:cs="Times New Roman"/>
          <w:i/>
          <w:iCs/>
          <w:sz w:val="24"/>
          <w:szCs w:val="24"/>
          <w:lang w:val="en-US"/>
        </w:rPr>
        <w:t xml:space="preserve">Athlete </w:t>
      </w:r>
      <w:r w:rsidRPr="000C00A5">
        <w:rPr>
          <w:rFonts w:ascii="Times New Roman" w:hAnsi="Times New Roman" w:cs="Times New Roman"/>
          <w:sz w:val="24"/>
          <w:szCs w:val="24"/>
          <w:lang w:val="en-US"/>
        </w:rPr>
        <w:t xml:space="preserve">who is not an </w:t>
      </w:r>
      <w:r w:rsidRPr="000C00A5">
        <w:rPr>
          <w:rFonts w:ascii="Times New Roman" w:hAnsi="Times New Roman" w:cs="Times New Roman"/>
          <w:i/>
          <w:iCs/>
          <w:sz w:val="24"/>
          <w:szCs w:val="24"/>
          <w:lang w:val="en-US"/>
        </w:rPr>
        <w:t xml:space="preserve">International-Level Athlete </w:t>
      </w:r>
      <w:r w:rsidRPr="000C00A5">
        <w:rPr>
          <w:rFonts w:ascii="Times New Roman" w:hAnsi="Times New Roman" w:cs="Times New Roman"/>
          <w:sz w:val="24"/>
          <w:szCs w:val="24"/>
          <w:lang w:val="en-US"/>
        </w:rPr>
        <w:t xml:space="preserve">or </w:t>
      </w:r>
      <w:r w:rsidRPr="000C00A5">
        <w:rPr>
          <w:rFonts w:ascii="Times New Roman" w:hAnsi="Times New Roman" w:cs="Times New Roman"/>
          <w:i/>
          <w:iCs/>
          <w:sz w:val="24"/>
          <w:szCs w:val="24"/>
          <w:lang w:val="en-US"/>
        </w:rPr>
        <w:t>National-Level Athlete</w:t>
      </w:r>
      <w:r w:rsidRPr="000C00A5">
        <w:rPr>
          <w:rFonts w:ascii="Times New Roman" w:hAnsi="Times New Roman" w:cs="Times New Roman"/>
          <w:sz w:val="24"/>
          <w:szCs w:val="24"/>
          <w:lang w:val="en-US"/>
        </w:rPr>
        <w:t xml:space="preserve">, and that </w:t>
      </w:r>
      <w:r w:rsidRPr="000C00A5">
        <w:rPr>
          <w:rFonts w:ascii="Times New Roman" w:hAnsi="Times New Roman" w:cs="Times New Roman"/>
          <w:i/>
          <w:iCs/>
          <w:sz w:val="24"/>
          <w:szCs w:val="24"/>
          <w:lang w:val="en-US"/>
        </w:rPr>
        <w:t xml:space="preserve">Athlete </w:t>
      </w:r>
      <w:r w:rsidRPr="000C00A5">
        <w:rPr>
          <w:rFonts w:ascii="Times New Roman" w:hAnsi="Times New Roman" w:cs="Times New Roman"/>
          <w:sz w:val="24"/>
          <w:szCs w:val="24"/>
          <w:lang w:val="en-US"/>
        </w:rPr>
        <w:t xml:space="preserve">is </w:t>
      </w:r>
      <w:r w:rsidRPr="000C00A5">
        <w:rPr>
          <w:rFonts w:ascii="Times New Roman" w:hAnsi="Times New Roman" w:cs="Times New Roman"/>
          <w:i/>
          <w:iCs/>
          <w:sz w:val="24"/>
          <w:szCs w:val="24"/>
          <w:lang w:val="en-US"/>
        </w:rPr>
        <w:t xml:space="preserve">Using </w:t>
      </w:r>
      <w:r w:rsidRPr="000C00A5">
        <w:rPr>
          <w:rFonts w:ascii="Times New Roman" w:hAnsi="Times New Roman" w:cs="Times New Roman"/>
          <w:sz w:val="24"/>
          <w:szCs w:val="24"/>
          <w:lang w:val="en-US"/>
        </w:rPr>
        <w:t xml:space="preserve">a </w:t>
      </w:r>
      <w:r w:rsidRPr="000C00A5">
        <w:rPr>
          <w:rFonts w:ascii="Times New Roman" w:hAnsi="Times New Roman" w:cs="Times New Roman"/>
          <w:i/>
          <w:iCs/>
          <w:sz w:val="24"/>
          <w:szCs w:val="24"/>
          <w:lang w:val="en-US"/>
        </w:rPr>
        <w:t xml:space="preserve">Prohibited Substance </w:t>
      </w:r>
      <w:r w:rsidRPr="000C00A5">
        <w:rPr>
          <w:rFonts w:ascii="Times New Roman" w:hAnsi="Times New Roman" w:cs="Times New Roman"/>
          <w:sz w:val="24"/>
          <w:szCs w:val="24"/>
          <w:lang w:val="en-US"/>
        </w:rPr>
        <w:t xml:space="preserve">or </w:t>
      </w:r>
      <w:r w:rsidRPr="000C00A5">
        <w:rPr>
          <w:rFonts w:ascii="Times New Roman" w:hAnsi="Times New Roman" w:cs="Times New Roman"/>
          <w:i/>
          <w:iCs/>
          <w:sz w:val="24"/>
          <w:szCs w:val="24"/>
          <w:lang w:val="en-US"/>
        </w:rPr>
        <w:t xml:space="preserve">Prohibited Method </w:t>
      </w:r>
      <w:r w:rsidRPr="000C00A5">
        <w:rPr>
          <w:rFonts w:ascii="Times New Roman" w:hAnsi="Times New Roman" w:cs="Times New Roman"/>
          <w:sz w:val="24"/>
          <w:szCs w:val="24"/>
          <w:lang w:val="en-US"/>
        </w:rPr>
        <w:t xml:space="preserve">for Therapeutic reasons, the </w:t>
      </w:r>
      <w:r w:rsidRPr="000C00A5">
        <w:rPr>
          <w:rFonts w:ascii="Times New Roman" w:hAnsi="Times New Roman" w:cs="Times New Roman"/>
          <w:i/>
          <w:iCs/>
          <w:sz w:val="24"/>
          <w:szCs w:val="24"/>
          <w:lang w:val="en-US"/>
        </w:rPr>
        <w:t xml:space="preserve">Anti-Doping Organization </w:t>
      </w:r>
      <w:r w:rsidRPr="000C00A5">
        <w:rPr>
          <w:rFonts w:ascii="Times New Roman" w:hAnsi="Times New Roman" w:cs="Times New Roman"/>
          <w:sz w:val="24"/>
          <w:szCs w:val="24"/>
          <w:lang w:val="en-US"/>
        </w:rPr>
        <w:t xml:space="preserve">must permit the </w:t>
      </w:r>
      <w:r w:rsidRPr="000C00A5">
        <w:rPr>
          <w:rFonts w:ascii="Times New Roman" w:hAnsi="Times New Roman" w:cs="Times New Roman"/>
          <w:i/>
          <w:iCs/>
          <w:sz w:val="24"/>
          <w:szCs w:val="24"/>
          <w:lang w:val="en-US"/>
        </w:rPr>
        <w:t xml:space="preserve">Athlete </w:t>
      </w:r>
      <w:r w:rsidRPr="000C00A5">
        <w:rPr>
          <w:rFonts w:ascii="Times New Roman" w:hAnsi="Times New Roman" w:cs="Times New Roman"/>
          <w:sz w:val="24"/>
          <w:szCs w:val="24"/>
          <w:lang w:val="en-US"/>
        </w:rPr>
        <w:t xml:space="preserve">to apply for a retroactive </w:t>
      </w:r>
      <w:r w:rsidRPr="000C00A5">
        <w:rPr>
          <w:rFonts w:ascii="Times New Roman" w:hAnsi="Times New Roman" w:cs="Times New Roman"/>
          <w:i/>
          <w:iCs/>
          <w:sz w:val="24"/>
          <w:szCs w:val="24"/>
          <w:lang w:val="en-US"/>
        </w:rPr>
        <w:t>TUE</w:t>
      </w:r>
      <w:r w:rsidRPr="000C00A5">
        <w:rPr>
          <w:rFonts w:ascii="Times New Roman" w:hAnsi="Times New Roman" w:cs="Times New Roman"/>
          <w:sz w:val="24"/>
          <w:szCs w:val="24"/>
          <w:lang w:val="en-US"/>
        </w:rPr>
        <w:t>; or</w:t>
      </w:r>
    </w:p>
    <w:p w14:paraId="66541F15" w14:textId="77777777" w:rsidR="00D647B7" w:rsidRPr="000C00A5" w:rsidRDefault="00D647B7" w:rsidP="00D647B7">
      <w:pPr>
        <w:autoSpaceDE w:val="0"/>
        <w:autoSpaceDN w:val="0"/>
        <w:adjustRightInd w:val="0"/>
        <w:spacing w:after="0"/>
        <w:ind w:left="714" w:hanging="357"/>
        <w:jc w:val="both"/>
        <w:rPr>
          <w:rFonts w:cs="Times New Roman"/>
          <w:sz w:val="24"/>
          <w:szCs w:val="24"/>
          <w:lang w:val="en-US"/>
        </w:rPr>
      </w:pPr>
      <w:r w:rsidRPr="000C00A5">
        <w:rPr>
          <w:rFonts w:cs="Times New Roman"/>
          <w:sz w:val="24"/>
          <w:szCs w:val="24"/>
          <w:lang w:val="en-US"/>
        </w:rPr>
        <w:t xml:space="preserve">e) The </w:t>
      </w:r>
      <w:r w:rsidRPr="000C00A5">
        <w:rPr>
          <w:rFonts w:cs="Times New Roman"/>
          <w:i/>
          <w:iCs/>
          <w:sz w:val="24"/>
          <w:szCs w:val="24"/>
          <w:lang w:val="en-US"/>
        </w:rPr>
        <w:t>Athlete Used Out-of-Competition</w:t>
      </w:r>
      <w:r w:rsidRPr="000C00A5">
        <w:rPr>
          <w:rFonts w:cs="Times New Roman"/>
          <w:sz w:val="24"/>
          <w:szCs w:val="24"/>
          <w:lang w:val="en-US"/>
        </w:rPr>
        <w:t xml:space="preserve">, for Therapeutic reasons, a </w:t>
      </w:r>
      <w:r w:rsidRPr="000C00A5">
        <w:rPr>
          <w:rFonts w:cs="Times New Roman"/>
          <w:i/>
          <w:iCs/>
          <w:sz w:val="24"/>
          <w:szCs w:val="24"/>
          <w:lang w:val="en-US"/>
        </w:rPr>
        <w:t xml:space="preserve">Prohibited Substance </w:t>
      </w:r>
      <w:r w:rsidRPr="000C00A5">
        <w:rPr>
          <w:rFonts w:cs="Times New Roman"/>
          <w:sz w:val="24"/>
          <w:szCs w:val="24"/>
          <w:lang w:val="en-US"/>
        </w:rPr>
        <w:t xml:space="preserve">that is only prohibited </w:t>
      </w:r>
      <w:r w:rsidRPr="000C00A5">
        <w:rPr>
          <w:rFonts w:cs="Times New Roman"/>
          <w:i/>
          <w:iCs/>
          <w:sz w:val="24"/>
          <w:szCs w:val="24"/>
          <w:lang w:val="en-US"/>
        </w:rPr>
        <w:t>In-Competition</w:t>
      </w:r>
      <w:r w:rsidRPr="000C00A5">
        <w:rPr>
          <w:rFonts w:cs="Times New Roman"/>
          <w:sz w:val="24"/>
          <w:szCs w:val="24"/>
          <w:lang w:val="en-US"/>
        </w:rPr>
        <w:t>.</w:t>
      </w:r>
    </w:p>
    <w:p w14:paraId="44395B7E" w14:textId="77777777" w:rsidR="00D647B7" w:rsidRPr="000C00A5" w:rsidRDefault="00D647B7" w:rsidP="00D647B7">
      <w:pPr>
        <w:autoSpaceDE w:val="0"/>
        <w:autoSpaceDN w:val="0"/>
        <w:adjustRightInd w:val="0"/>
        <w:spacing w:before="200"/>
        <w:ind w:left="714" w:hanging="5"/>
        <w:jc w:val="both"/>
        <w:rPr>
          <w:rFonts w:cs="Times New Roman"/>
          <w:i/>
          <w:iCs/>
          <w:sz w:val="24"/>
          <w:szCs w:val="24"/>
          <w:lang w:val="en-US"/>
        </w:rPr>
      </w:pPr>
      <w:r w:rsidRPr="000C00A5">
        <w:rPr>
          <w:rFonts w:cs="Times New Roman"/>
          <w:i/>
          <w:iCs/>
          <w:sz w:val="24"/>
          <w:szCs w:val="24"/>
          <w:lang w:val="en-US"/>
        </w:rPr>
        <w:t>[Comment to Article 4.1: The fulfillment of one of the retroactive exceptions does not mean that a TUE will necessarily be granted; it means that the Athlete’s application may be evaluated under Article 4.2 to determine if the specified TUE conditions have been satisfied.]</w:t>
      </w:r>
    </w:p>
    <w:p w14:paraId="6777DC12" w14:textId="77777777" w:rsidR="00D647B7" w:rsidRPr="000C00A5" w:rsidRDefault="00D647B7" w:rsidP="00D647B7">
      <w:pPr>
        <w:autoSpaceDE w:val="0"/>
        <w:autoSpaceDN w:val="0"/>
        <w:adjustRightInd w:val="0"/>
        <w:spacing w:after="0"/>
        <w:ind w:left="714" w:hanging="5"/>
        <w:jc w:val="both"/>
        <w:rPr>
          <w:rFonts w:cs="Times New Roman"/>
          <w:i/>
          <w:iCs/>
          <w:sz w:val="24"/>
          <w:szCs w:val="24"/>
          <w:lang w:val="en-US"/>
        </w:rPr>
      </w:pPr>
      <w:r w:rsidRPr="000C00A5">
        <w:rPr>
          <w:rFonts w:cs="Times New Roman"/>
          <w:i/>
          <w:iCs/>
          <w:sz w:val="24"/>
          <w:szCs w:val="24"/>
          <w:lang w:val="en-US"/>
        </w:rPr>
        <w:t>[Comment to Article 4.1(c), (d) and (e): Such Athletes are strongly advised to have a medical file prepared and ready to demonstrate their satisfaction of the TUE conditions set out at Article 4.2, in case an application for a retroactive TUE is necessary following Sample collection.]</w:t>
      </w:r>
    </w:p>
    <w:p w14:paraId="7C427C92" w14:textId="77777777" w:rsidR="00D647B7" w:rsidRPr="000C00A5" w:rsidRDefault="00D647B7" w:rsidP="00D647B7">
      <w:pPr>
        <w:autoSpaceDE w:val="0"/>
        <w:autoSpaceDN w:val="0"/>
        <w:adjustRightInd w:val="0"/>
        <w:spacing w:before="200" w:after="0"/>
        <w:ind w:left="715" w:hanging="6"/>
        <w:jc w:val="both"/>
        <w:rPr>
          <w:rFonts w:cs="Times New Roman"/>
          <w:i/>
          <w:iCs/>
          <w:sz w:val="24"/>
          <w:szCs w:val="24"/>
          <w:lang w:val="en-US"/>
        </w:rPr>
      </w:pPr>
      <w:r w:rsidRPr="000C00A5">
        <w:rPr>
          <w:rFonts w:cs="Times New Roman"/>
          <w:i/>
          <w:iCs/>
          <w:sz w:val="24"/>
          <w:szCs w:val="24"/>
          <w:lang w:val="en-US"/>
        </w:rPr>
        <w:t>[Comment to Article 4.1(e): This seeks to address situations where, for Therapeutic reasons, an Athlete Uses a substance Out-of-Competition that is only prohibited In-Competition, but there is a risk that the substance will remain in their system In-Competition. In such situations, the Anti-Doping Organization must permit the Athlete to apply for a retroactive TUE (where the Athlete has not applied in advance). This also seeks to prevent Anti-Doping Organizations from having to assess advance TUE applications that may not be necessary.]</w:t>
      </w:r>
    </w:p>
    <w:p w14:paraId="1DB1EBAC" w14:textId="77777777" w:rsidR="00D647B7" w:rsidRPr="000C00A5" w:rsidRDefault="00D647B7" w:rsidP="00D647B7">
      <w:pPr>
        <w:autoSpaceDE w:val="0"/>
        <w:autoSpaceDN w:val="0"/>
        <w:adjustRightInd w:val="0"/>
        <w:spacing w:before="200" w:after="0"/>
        <w:ind w:left="715" w:hanging="6"/>
        <w:jc w:val="both"/>
        <w:rPr>
          <w:rFonts w:cs="Times New Roman"/>
          <w:sz w:val="24"/>
          <w:szCs w:val="24"/>
          <w:lang w:val="en-US"/>
        </w:rPr>
      </w:pPr>
    </w:p>
    <w:p w14:paraId="4DAAD80F" w14:textId="77777777" w:rsidR="00D647B7" w:rsidRPr="000C00A5" w:rsidRDefault="00D647B7" w:rsidP="00D647B7">
      <w:pPr>
        <w:jc w:val="center"/>
        <w:rPr>
          <w:rFonts w:cs="Times New Roman"/>
          <w:b/>
          <w:sz w:val="24"/>
          <w:szCs w:val="24"/>
          <w:lang w:val="en-US"/>
        </w:rPr>
      </w:pPr>
      <w:r w:rsidRPr="000C00A5">
        <w:rPr>
          <w:rFonts w:cs="Times New Roman"/>
          <w:b/>
          <w:sz w:val="24"/>
          <w:szCs w:val="24"/>
          <w:lang w:val="uz-Latn-UZ"/>
        </w:rPr>
        <w:t>THE INTERNATIONAL STANDARD FOR THERAPEUTIC USE EXEMPTIONS. ARTICLE 4.</w:t>
      </w:r>
      <w:r w:rsidRPr="000C00A5">
        <w:rPr>
          <w:rFonts w:cs="Times New Roman"/>
          <w:b/>
          <w:sz w:val="24"/>
          <w:szCs w:val="24"/>
          <w:lang w:val="en-US"/>
        </w:rPr>
        <w:t>2</w:t>
      </w:r>
    </w:p>
    <w:p w14:paraId="2E2FA898" w14:textId="77777777" w:rsidR="00D647B7" w:rsidRPr="000C00A5" w:rsidRDefault="00D647B7" w:rsidP="00D647B7">
      <w:pPr>
        <w:jc w:val="center"/>
        <w:rPr>
          <w:rFonts w:cs="Times New Roman"/>
          <w:sz w:val="24"/>
          <w:szCs w:val="24"/>
          <w:lang w:val="uz-Latn-UZ"/>
        </w:rPr>
      </w:pPr>
      <w:r w:rsidRPr="000C00A5">
        <w:rPr>
          <w:rFonts w:cs="Times New Roman"/>
          <w:b/>
          <w:sz w:val="24"/>
          <w:szCs w:val="24"/>
          <w:lang w:val="uz-Latn-UZ"/>
        </w:rPr>
        <w:t>OBTAINING THERAPEUTIC USE EXEMPTIONS</w:t>
      </w:r>
    </w:p>
    <w:p w14:paraId="75638D55" w14:textId="77777777" w:rsidR="00D647B7" w:rsidRPr="000C00A5" w:rsidRDefault="00D647B7" w:rsidP="00D647B7">
      <w:pPr>
        <w:autoSpaceDE w:val="0"/>
        <w:autoSpaceDN w:val="0"/>
        <w:adjustRightInd w:val="0"/>
        <w:spacing w:before="200" w:after="0"/>
        <w:ind w:left="715" w:hanging="6"/>
        <w:jc w:val="both"/>
        <w:rPr>
          <w:rFonts w:cs="Times New Roman"/>
          <w:sz w:val="24"/>
          <w:szCs w:val="24"/>
          <w:lang w:val="uz-Latn-UZ"/>
        </w:rPr>
      </w:pPr>
    </w:p>
    <w:p w14:paraId="0731E5FA" w14:textId="77777777" w:rsidR="00D647B7" w:rsidRPr="000C00A5" w:rsidRDefault="00D647B7" w:rsidP="00D647B7">
      <w:pPr>
        <w:autoSpaceDE w:val="0"/>
        <w:autoSpaceDN w:val="0"/>
        <w:adjustRightInd w:val="0"/>
        <w:spacing w:after="0"/>
        <w:ind w:left="567"/>
        <w:jc w:val="both"/>
        <w:rPr>
          <w:rFonts w:cs="Times New Roman"/>
          <w:sz w:val="24"/>
          <w:szCs w:val="24"/>
          <w:lang w:val="en-US"/>
        </w:rPr>
      </w:pPr>
      <w:r w:rsidRPr="000C00A5">
        <w:rPr>
          <w:rFonts w:cs="Times New Roman"/>
          <w:b/>
          <w:bCs/>
          <w:sz w:val="24"/>
          <w:szCs w:val="24"/>
          <w:lang w:val="en-US"/>
        </w:rPr>
        <w:t xml:space="preserve">4.2 </w:t>
      </w:r>
      <w:r w:rsidRPr="000C00A5">
        <w:rPr>
          <w:rFonts w:cs="Times New Roman"/>
          <w:sz w:val="24"/>
          <w:szCs w:val="24"/>
          <w:lang w:val="en-US"/>
        </w:rPr>
        <w:t xml:space="preserve">An </w:t>
      </w:r>
      <w:r w:rsidRPr="000C00A5">
        <w:rPr>
          <w:rFonts w:cs="Times New Roman"/>
          <w:i/>
          <w:iCs/>
          <w:sz w:val="24"/>
          <w:szCs w:val="24"/>
          <w:lang w:val="en-US"/>
        </w:rPr>
        <w:t xml:space="preserve">Athlete </w:t>
      </w:r>
      <w:r w:rsidRPr="000C00A5">
        <w:rPr>
          <w:rFonts w:cs="Times New Roman"/>
          <w:sz w:val="24"/>
          <w:szCs w:val="24"/>
          <w:lang w:val="en-US"/>
        </w:rPr>
        <w:t xml:space="preserve">may be granted a </w:t>
      </w:r>
      <w:r w:rsidRPr="000C00A5">
        <w:rPr>
          <w:rFonts w:cs="Times New Roman"/>
          <w:i/>
          <w:iCs/>
          <w:sz w:val="24"/>
          <w:szCs w:val="24"/>
          <w:lang w:val="en-US"/>
        </w:rPr>
        <w:t xml:space="preserve">TUE </w:t>
      </w:r>
      <w:r w:rsidRPr="000C00A5">
        <w:rPr>
          <w:rFonts w:cs="Times New Roman"/>
          <w:sz w:val="24"/>
          <w:szCs w:val="24"/>
          <w:lang w:val="en-US"/>
        </w:rPr>
        <w:t>if (and only if) they can show, on the balance of</w:t>
      </w:r>
    </w:p>
    <w:p w14:paraId="2050511C" w14:textId="77777777" w:rsidR="00D647B7" w:rsidRPr="000C00A5" w:rsidRDefault="00D647B7" w:rsidP="00D647B7">
      <w:pPr>
        <w:autoSpaceDE w:val="0"/>
        <w:autoSpaceDN w:val="0"/>
        <w:adjustRightInd w:val="0"/>
        <w:spacing w:after="0"/>
        <w:ind w:left="567"/>
        <w:jc w:val="both"/>
        <w:rPr>
          <w:rFonts w:cs="Times New Roman"/>
          <w:sz w:val="24"/>
          <w:szCs w:val="24"/>
          <w:lang w:val="en-US"/>
        </w:rPr>
      </w:pPr>
      <w:r w:rsidRPr="000C00A5">
        <w:rPr>
          <w:rFonts w:cs="Times New Roman"/>
          <w:sz w:val="24"/>
          <w:szCs w:val="24"/>
          <w:lang w:val="en-US"/>
        </w:rPr>
        <w:t>probabilities, that each of the following conditions is met:</w:t>
      </w:r>
    </w:p>
    <w:p w14:paraId="444455DF" w14:textId="77777777" w:rsidR="00D647B7" w:rsidRPr="000C00A5" w:rsidRDefault="00D647B7" w:rsidP="00D647B7">
      <w:pPr>
        <w:autoSpaceDE w:val="0"/>
        <w:autoSpaceDN w:val="0"/>
        <w:adjustRightInd w:val="0"/>
        <w:spacing w:after="0"/>
        <w:ind w:left="567"/>
        <w:jc w:val="both"/>
        <w:rPr>
          <w:rFonts w:cs="Times New Roman"/>
          <w:sz w:val="24"/>
          <w:szCs w:val="24"/>
          <w:lang w:val="en-US"/>
        </w:rPr>
      </w:pPr>
    </w:p>
    <w:p w14:paraId="0C9F166B" w14:textId="77777777" w:rsidR="00D647B7" w:rsidRPr="000C00A5" w:rsidRDefault="00D647B7" w:rsidP="00D647B7">
      <w:pPr>
        <w:autoSpaceDE w:val="0"/>
        <w:autoSpaceDN w:val="0"/>
        <w:adjustRightInd w:val="0"/>
        <w:spacing w:before="200"/>
        <w:ind w:left="714" w:hanging="357"/>
        <w:jc w:val="both"/>
        <w:rPr>
          <w:rFonts w:cs="Times New Roman"/>
          <w:sz w:val="24"/>
          <w:szCs w:val="24"/>
          <w:lang w:val="en-US"/>
        </w:rPr>
      </w:pPr>
      <w:r w:rsidRPr="000C00A5">
        <w:rPr>
          <w:rFonts w:cs="Times New Roman"/>
          <w:sz w:val="24"/>
          <w:szCs w:val="24"/>
          <w:lang w:val="en-US"/>
        </w:rPr>
        <w:t xml:space="preserve">a) The </w:t>
      </w:r>
      <w:r w:rsidRPr="000C00A5">
        <w:rPr>
          <w:rFonts w:cs="Times New Roman"/>
          <w:i/>
          <w:iCs/>
          <w:sz w:val="24"/>
          <w:szCs w:val="24"/>
          <w:lang w:val="en-US"/>
        </w:rPr>
        <w:t xml:space="preserve">Prohibited Substance </w:t>
      </w:r>
      <w:r w:rsidRPr="000C00A5">
        <w:rPr>
          <w:rFonts w:cs="Times New Roman"/>
          <w:sz w:val="24"/>
          <w:szCs w:val="24"/>
          <w:lang w:val="en-US"/>
        </w:rPr>
        <w:t xml:space="preserve">or </w:t>
      </w:r>
      <w:r w:rsidRPr="000C00A5">
        <w:rPr>
          <w:rFonts w:cs="Times New Roman"/>
          <w:i/>
          <w:iCs/>
          <w:sz w:val="24"/>
          <w:szCs w:val="24"/>
          <w:lang w:val="en-US"/>
        </w:rPr>
        <w:t xml:space="preserve">Prohibited Method </w:t>
      </w:r>
      <w:r w:rsidRPr="000C00A5">
        <w:rPr>
          <w:rFonts w:cs="Times New Roman"/>
          <w:sz w:val="24"/>
          <w:szCs w:val="24"/>
          <w:lang w:val="en-US"/>
        </w:rPr>
        <w:t>in question is needed to treat a diagnosed medical condition supported by relevant clinical evidence.</w:t>
      </w:r>
    </w:p>
    <w:p w14:paraId="4E2BC882" w14:textId="77777777" w:rsidR="00D647B7" w:rsidRPr="000C00A5" w:rsidRDefault="00D647B7" w:rsidP="00D647B7">
      <w:pPr>
        <w:autoSpaceDE w:val="0"/>
        <w:autoSpaceDN w:val="0"/>
        <w:adjustRightInd w:val="0"/>
        <w:spacing w:before="200"/>
        <w:ind w:left="714" w:hanging="5"/>
        <w:jc w:val="both"/>
        <w:rPr>
          <w:rFonts w:cs="Times New Roman"/>
          <w:i/>
          <w:iCs/>
          <w:sz w:val="24"/>
          <w:szCs w:val="24"/>
          <w:lang w:val="en-US"/>
        </w:rPr>
      </w:pPr>
      <w:r w:rsidRPr="000C00A5">
        <w:rPr>
          <w:rFonts w:cs="Times New Roman"/>
          <w:i/>
          <w:iCs/>
          <w:sz w:val="24"/>
          <w:szCs w:val="24"/>
          <w:lang w:val="en-US"/>
        </w:rPr>
        <w:t>[Comment to Article 4.2(a): The Use of the Prohibited Substance or Prohibited Method may be part of a necessary diagnostic investigation rather than a treatment per se.]</w:t>
      </w:r>
    </w:p>
    <w:p w14:paraId="00B80191" w14:textId="77777777" w:rsidR="00D647B7" w:rsidRPr="000C00A5" w:rsidRDefault="00D647B7" w:rsidP="00D647B7">
      <w:pPr>
        <w:autoSpaceDE w:val="0"/>
        <w:autoSpaceDN w:val="0"/>
        <w:adjustRightInd w:val="0"/>
        <w:spacing w:before="200"/>
        <w:ind w:left="714" w:hanging="357"/>
        <w:jc w:val="both"/>
        <w:rPr>
          <w:rFonts w:cs="Times New Roman"/>
          <w:sz w:val="24"/>
          <w:szCs w:val="24"/>
          <w:lang w:val="en-US"/>
        </w:rPr>
      </w:pPr>
      <w:r w:rsidRPr="000C00A5">
        <w:rPr>
          <w:rFonts w:cs="Times New Roman"/>
          <w:sz w:val="24"/>
          <w:szCs w:val="24"/>
          <w:lang w:val="en-US"/>
        </w:rPr>
        <w:t xml:space="preserve">b) The Therapeutic </w:t>
      </w:r>
      <w:r w:rsidRPr="000C00A5">
        <w:rPr>
          <w:rFonts w:cs="Times New Roman"/>
          <w:i/>
          <w:iCs/>
          <w:sz w:val="24"/>
          <w:szCs w:val="24"/>
          <w:lang w:val="en-US"/>
        </w:rPr>
        <w:t xml:space="preserve">Use </w:t>
      </w:r>
      <w:r w:rsidRPr="000C00A5">
        <w:rPr>
          <w:rFonts w:cs="Times New Roman"/>
          <w:sz w:val="24"/>
          <w:szCs w:val="24"/>
          <w:lang w:val="en-US"/>
        </w:rPr>
        <w:t xml:space="preserve">of the </w:t>
      </w:r>
      <w:r w:rsidRPr="000C00A5">
        <w:rPr>
          <w:rFonts w:cs="Times New Roman"/>
          <w:i/>
          <w:iCs/>
          <w:sz w:val="24"/>
          <w:szCs w:val="24"/>
          <w:lang w:val="en-US"/>
        </w:rPr>
        <w:t xml:space="preserve">Prohibited Substance </w:t>
      </w:r>
      <w:r w:rsidRPr="000C00A5">
        <w:rPr>
          <w:rFonts w:cs="Times New Roman"/>
          <w:sz w:val="24"/>
          <w:szCs w:val="24"/>
          <w:lang w:val="en-US"/>
        </w:rPr>
        <w:t xml:space="preserve">or </w:t>
      </w:r>
      <w:r w:rsidRPr="000C00A5">
        <w:rPr>
          <w:rFonts w:cs="Times New Roman"/>
          <w:i/>
          <w:iCs/>
          <w:sz w:val="24"/>
          <w:szCs w:val="24"/>
          <w:lang w:val="en-US"/>
        </w:rPr>
        <w:t xml:space="preserve">Prohibited Method </w:t>
      </w:r>
      <w:r w:rsidRPr="000C00A5">
        <w:rPr>
          <w:rFonts w:cs="Times New Roman"/>
          <w:sz w:val="24"/>
          <w:szCs w:val="24"/>
          <w:lang w:val="en-US"/>
        </w:rPr>
        <w:t xml:space="preserve">will not, on the balance of probabilities, produce any additional enhancement of performance beyond what might be anticipated by a return to the </w:t>
      </w:r>
      <w:r w:rsidRPr="000C00A5">
        <w:rPr>
          <w:rFonts w:cs="Times New Roman"/>
          <w:i/>
          <w:iCs/>
          <w:sz w:val="24"/>
          <w:szCs w:val="24"/>
          <w:lang w:val="en-US"/>
        </w:rPr>
        <w:t xml:space="preserve">Athlete’s </w:t>
      </w:r>
      <w:r w:rsidRPr="000C00A5">
        <w:rPr>
          <w:rFonts w:cs="Times New Roman"/>
          <w:sz w:val="24"/>
          <w:szCs w:val="24"/>
          <w:lang w:val="en-US"/>
        </w:rPr>
        <w:t>normal state of health following the treatment of the medical condition.</w:t>
      </w:r>
    </w:p>
    <w:p w14:paraId="2E20BF17" w14:textId="77777777" w:rsidR="00D647B7" w:rsidRPr="000C00A5" w:rsidRDefault="00D647B7" w:rsidP="00D647B7">
      <w:pPr>
        <w:autoSpaceDE w:val="0"/>
        <w:autoSpaceDN w:val="0"/>
        <w:adjustRightInd w:val="0"/>
        <w:spacing w:before="200"/>
        <w:ind w:left="714" w:hanging="5"/>
        <w:jc w:val="both"/>
        <w:rPr>
          <w:rFonts w:cs="Times New Roman"/>
          <w:i/>
          <w:iCs/>
          <w:sz w:val="24"/>
          <w:szCs w:val="24"/>
          <w:lang w:val="en-US"/>
        </w:rPr>
      </w:pPr>
      <w:r w:rsidRPr="000C00A5">
        <w:rPr>
          <w:rFonts w:cs="Times New Roman"/>
          <w:i/>
          <w:iCs/>
          <w:sz w:val="24"/>
          <w:szCs w:val="24"/>
          <w:lang w:val="en-US"/>
        </w:rPr>
        <w:t>[Comment to Article 4.2(b): An Athlete’s normal state of health will need to be determined on an individual basis. A normal state of health for a specific Athlete is their state of health but for the medical condition for which the Athlete is seeking a TUE.]</w:t>
      </w:r>
    </w:p>
    <w:p w14:paraId="394F9DAA" w14:textId="77777777" w:rsidR="00D647B7" w:rsidRPr="000C00A5" w:rsidRDefault="00D647B7" w:rsidP="00D647B7">
      <w:pPr>
        <w:autoSpaceDE w:val="0"/>
        <w:autoSpaceDN w:val="0"/>
        <w:adjustRightInd w:val="0"/>
        <w:spacing w:before="200"/>
        <w:ind w:left="714" w:hanging="357"/>
        <w:jc w:val="both"/>
        <w:rPr>
          <w:rFonts w:cs="Times New Roman"/>
          <w:sz w:val="24"/>
          <w:szCs w:val="24"/>
          <w:lang w:val="en-US"/>
        </w:rPr>
      </w:pPr>
      <w:r w:rsidRPr="000C00A5">
        <w:rPr>
          <w:rFonts w:cs="Times New Roman"/>
          <w:sz w:val="24"/>
          <w:szCs w:val="24"/>
          <w:lang w:val="en-US"/>
        </w:rPr>
        <w:lastRenderedPageBreak/>
        <w:t xml:space="preserve">c) The </w:t>
      </w:r>
      <w:r w:rsidRPr="000C00A5">
        <w:rPr>
          <w:rFonts w:cs="Times New Roman"/>
          <w:i/>
          <w:iCs/>
          <w:sz w:val="24"/>
          <w:szCs w:val="24"/>
          <w:lang w:val="en-US"/>
        </w:rPr>
        <w:t xml:space="preserve">Prohibited Substance </w:t>
      </w:r>
      <w:r w:rsidRPr="000C00A5">
        <w:rPr>
          <w:rFonts w:cs="Times New Roman"/>
          <w:sz w:val="24"/>
          <w:szCs w:val="24"/>
          <w:lang w:val="en-US"/>
        </w:rPr>
        <w:t xml:space="preserve">or </w:t>
      </w:r>
      <w:r w:rsidRPr="000C00A5">
        <w:rPr>
          <w:rFonts w:cs="Times New Roman"/>
          <w:i/>
          <w:iCs/>
          <w:sz w:val="24"/>
          <w:szCs w:val="24"/>
          <w:lang w:val="en-US"/>
        </w:rPr>
        <w:t xml:space="preserve">Prohibited Method </w:t>
      </w:r>
      <w:r w:rsidRPr="000C00A5">
        <w:rPr>
          <w:rFonts w:cs="Times New Roman"/>
          <w:sz w:val="24"/>
          <w:szCs w:val="24"/>
          <w:lang w:val="en-US"/>
        </w:rPr>
        <w:t>is an indicated treatment for the medical condition, and there is no reasonable permitted Therapeutic alternative.</w:t>
      </w:r>
    </w:p>
    <w:p w14:paraId="3E604C9A" w14:textId="77777777" w:rsidR="00D647B7" w:rsidRPr="000C00A5" w:rsidRDefault="00D647B7" w:rsidP="00D647B7">
      <w:pPr>
        <w:autoSpaceDE w:val="0"/>
        <w:autoSpaceDN w:val="0"/>
        <w:adjustRightInd w:val="0"/>
        <w:spacing w:before="200"/>
        <w:ind w:left="714" w:hanging="5"/>
        <w:jc w:val="both"/>
        <w:rPr>
          <w:rFonts w:cs="Times New Roman"/>
          <w:i/>
          <w:iCs/>
          <w:sz w:val="24"/>
          <w:szCs w:val="24"/>
          <w:lang w:val="en-US"/>
        </w:rPr>
      </w:pPr>
      <w:r w:rsidRPr="000C00A5">
        <w:rPr>
          <w:rFonts w:cs="Times New Roman"/>
          <w:i/>
          <w:iCs/>
          <w:sz w:val="24"/>
          <w:szCs w:val="24"/>
          <w:lang w:val="en-US"/>
        </w:rPr>
        <w:t>[Comment to Article 4.2(c): The physician must explain why the treatment chosen was the most appropriate, e.g., based on experience, side-effect profiles or other medical justifications, including, where applicable, geographically specific medical practice, and the ability to access the medication. Further, it is not always necessary to try and fail alternatives before using the Prohibited Substance or Prohibited Method.]</w:t>
      </w:r>
    </w:p>
    <w:p w14:paraId="0F6776D5" w14:textId="77777777" w:rsidR="00D647B7" w:rsidRPr="000C00A5" w:rsidRDefault="00D647B7" w:rsidP="00D647B7">
      <w:pPr>
        <w:autoSpaceDE w:val="0"/>
        <w:autoSpaceDN w:val="0"/>
        <w:adjustRightInd w:val="0"/>
        <w:spacing w:before="200"/>
        <w:ind w:left="714" w:hanging="357"/>
        <w:jc w:val="both"/>
        <w:rPr>
          <w:rFonts w:cs="Times New Roman"/>
          <w:sz w:val="24"/>
          <w:szCs w:val="24"/>
          <w:lang w:val="en-US"/>
        </w:rPr>
      </w:pPr>
      <w:r w:rsidRPr="000C00A5">
        <w:rPr>
          <w:rFonts w:cs="Times New Roman"/>
          <w:sz w:val="24"/>
          <w:szCs w:val="24"/>
          <w:lang w:val="en-US"/>
        </w:rPr>
        <w:t xml:space="preserve">d) The necessity for the </w:t>
      </w:r>
      <w:r w:rsidRPr="000C00A5">
        <w:rPr>
          <w:rFonts w:cs="Times New Roman"/>
          <w:i/>
          <w:iCs/>
          <w:sz w:val="24"/>
          <w:szCs w:val="24"/>
          <w:lang w:val="en-US"/>
        </w:rPr>
        <w:t xml:space="preserve">Use </w:t>
      </w:r>
      <w:r w:rsidRPr="000C00A5">
        <w:rPr>
          <w:rFonts w:cs="Times New Roman"/>
          <w:sz w:val="24"/>
          <w:szCs w:val="24"/>
          <w:lang w:val="en-US"/>
        </w:rPr>
        <w:t xml:space="preserve">of the </w:t>
      </w:r>
      <w:r w:rsidRPr="000C00A5">
        <w:rPr>
          <w:rFonts w:cs="Times New Roman"/>
          <w:i/>
          <w:iCs/>
          <w:sz w:val="24"/>
          <w:szCs w:val="24"/>
          <w:lang w:val="en-US"/>
        </w:rPr>
        <w:t xml:space="preserve">Prohibited Substance </w:t>
      </w:r>
      <w:r w:rsidRPr="000C00A5">
        <w:rPr>
          <w:rFonts w:cs="Times New Roman"/>
          <w:sz w:val="24"/>
          <w:szCs w:val="24"/>
          <w:lang w:val="en-US"/>
        </w:rPr>
        <w:t xml:space="preserve">or </w:t>
      </w:r>
      <w:r w:rsidRPr="000C00A5">
        <w:rPr>
          <w:rFonts w:cs="Times New Roman"/>
          <w:i/>
          <w:iCs/>
          <w:sz w:val="24"/>
          <w:szCs w:val="24"/>
          <w:lang w:val="en-US"/>
        </w:rPr>
        <w:t xml:space="preserve">Prohibited Method </w:t>
      </w:r>
      <w:r w:rsidRPr="000C00A5">
        <w:rPr>
          <w:rFonts w:cs="Times New Roman"/>
          <w:sz w:val="24"/>
          <w:szCs w:val="24"/>
          <w:lang w:val="en-US"/>
        </w:rPr>
        <w:t xml:space="preserve">is not a consequence, wholly or in part, of the prior </w:t>
      </w:r>
      <w:r w:rsidRPr="000C00A5">
        <w:rPr>
          <w:rFonts w:cs="Times New Roman"/>
          <w:i/>
          <w:iCs/>
          <w:sz w:val="24"/>
          <w:szCs w:val="24"/>
          <w:lang w:val="en-US"/>
        </w:rPr>
        <w:t xml:space="preserve">Use </w:t>
      </w:r>
      <w:r w:rsidRPr="000C00A5">
        <w:rPr>
          <w:rFonts w:cs="Times New Roman"/>
          <w:sz w:val="24"/>
          <w:szCs w:val="24"/>
          <w:lang w:val="en-US"/>
        </w:rPr>
        <w:t xml:space="preserve">(without a </w:t>
      </w:r>
      <w:r w:rsidRPr="000C00A5">
        <w:rPr>
          <w:rFonts w:cs="Times New Roman"/>
          <w:i/>
          <w:iCs/>
          <w:sz w:val="24"/>
          <w:szCs w:val="24"/>
          <w:lang w:val="en-US"/>
        </w:rPr>
        <w:t>TUE</w:t>
      </w:r>
      <w:r w:rsidRPr="000C00A5">
        <w:rPr>
          <w:rFonts w:cs="Times New Roman"/>
          <w:sz w:val="24"/>
          <w:szCs w:val="24"/>
          <w:lang w:val="en-US"/>
        </w:rPr>
        <w:t xml:space="preserve">) of a substance or method which was prohibited at the time of such </w:t>
      </w:r>
      <w:r w:rsidRPr="000C00A5">
        <w:rPr>
          <w:rFonts w:cs="Times New Roman"/>
          <w:i/>
          <w:iCs/>
          <w:sz w:val="24"/>
          <w:szCs w:val="24"/>
          <w:lang w:val="en-US"/>
        </w:rPr>
        <w:t>Use</w:t>
      </w:r>
      <w:r w:rsidRPr="000C00A5">
        <w:rPr>
          <w:rFonts w:cs="Times New Roman"/>
          <w:sz w:val="24"/>
          <w:szCs w:val="24"/>
          <w:lang w:val="en-US"/>
        </w:rPr>
        <w:t>.</w:t>
      </w:r>
    </w:p>
    <w:p w14:paraId="0F46766A" w14:textId="77777777" w:rsidR="00D647B7" w:rsidRPr="000C00A5" w:rsidRDefault="00D647B7" w:rsidP="00D647B7">
      <w:pPr>
        <w:autoSpaceDE w:val="0"/>
        <w:autoSpaceDN w:val="0"/>
        <w:adjustRightInd w:val="0"/>
        <w:spacing w:before="200"/>
        <w:ind w:left="714" w:hanging="5"/>
        <w:jc w:val="both"/>
        <w:rPr>
          <w:rFonts w:cs="Times New Roman"/>
          <w:i/>
          <w:iCs/>
          <w:sz w:val="24"/>
          <w:szCs w:val="24"/>
          <w:lang w:val="en-US"/>
        </w:rPr>
      </w:pPr>
      <w:r w:rsidRPr="000C00A5">
        <w:rPr>
          <w:rFonts w:cs="Times New Roman"/>
          <w:i/>
          <w:iCs/>
          <w:sz w:val="24"/>
          <w:szCs w:val="24"/>
          <w:lang w:val="en-US"/>
        </w:rPr>
        <w:t>[Comment to Article 4.2: The WADA documents titled “TUE Physician Guidelines”, posted on WADA’s website, should be used to assist in the application of these criteria in relation to particular medical conditions.</w:t>
      </w:r>
    </w:p>
    <w:p w14:paraId="1D397A5B" w14:textId="77777777" w:rsidR="00D647B7" w:rsidRPr="000C00A5" w:rsidRDefault="00D647B7" w:rsidP="00D647B7">
      <w:pPr>
        <w:autoSpaceDE w:val="0"/>
        <w:autoSpaceDN w:val="0"/>
        <w:adjustRightInd w:val="0"/>
        <w:spacing w:before="200"/>
        <w:ind w:left="714" w:hanging="5"/>
        <w:jc w:val="both"/>
        <w:rPr>
          <w:rFonts w:cs="Times New Roman"/>
          <w:i/>
          <w:iCs/>
          <w:sz w:val="24"/>
          <w:szCs w:val="24"/>
          <w:lang w:val="en-US"/>
        </w:rPr>
      </w:pPr>
      <w:r w:rsidRPr="000C00A5">
        <w:rPr>
          <w:rFonts w:cs="Times New Roman"/>
          <w:i/>
          <w:iCs/>
          <w:sz w:val="24"/>
          <w:szCs w:val="24"/>
          <w:lang w:val="en-US"/>
        </w:rPr>
        <w:t>The granting of a TUE is based solely on consideration of the conditions set out in Article 4.2. It does not consider whether the Prohibited Substance or Prohibited Method is the most clinically appropriate or safe, or whether its Use is legal in all jurisdictions.</w:t>
      </w:r>
    </w:p>
    <w:p w14:paraId="56549945" w14:textId="4117B13A" w:rsidR="00D647B7" w:rsidRPr="000C00A5" w:rsidRDefault="00D647B7" w:rsidP="00D647B7">
      <w:pPr>
        <w:spacing w:after="0"/>
        <w:ind w:left="709"/>
        <w:jc w:val="both"/>
        <w:rPr>
          <w:sz w:val="24"/>
          <w:szCs w:val="24"/>
          <w:lang w:val="en-US"/>
        </w:rPr>
      </w:pPr>
      <w:r w:rsidRPr="000C00A5">
        <w:rPr>
          <w:rFonts w:cs="Times New Roman"/>
          <w:i/>
          <w:iCs/>
          <w:sz w:val="24"/>
          <w:szCs w:val="24"/>
          <w:lang w:val="en-US"/>
        </w:rPr>
        <w:t>When an International Federation or Major Event Organization TUEC is deciding whether or not to recognize a TUE granted by another Anti-Doping Organization (see Article 7), and when WADA is reviewing a decision to grant (or not to grant) a TUE (see Article 8), the issue will be the same as it is for a TUEC that is considering an application for a TUE under Article 6, i.e., has the Athlete demonstrated on the balance of probabilities that each of the conditions set out in Article 4.2 is met?]</w:t>
      </w:r>
    </w:p>
    <w:sectPr w:rsidR="00D647B7" w:rsidRPr="000C00A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D3DD7"/>
    <w:multiLevelType w:val="hybridMultilevel"/>
    <w:tmpl w:val="4C26D91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B7"/>
    <w:rsid w:val="000C00A5"/>
    <w:rsid w:val="006C0B77"/>
    <w:rsid w:val="008242FF"/>
    <w:rsid w:val="00870751"/>
    <w:rsid w:val="00922C48"/>
    <w:rsid w:val="00B915B7"/>
    <w:rsid w:val="00D647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2122"/>
  <w15:chartTrackingRefBased/>
  <w15:docId w15:val="{F390CE94-20CF-4AE0-829E-6C3D494D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7B7"/>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2023-08-30T05:41:00Z</dcterms:created>
  <dcterms:modified xsi:type="dcterms:W3CDTF">2023-08-30T05:59:00Z</dcterms:modified>
</cp:coreProperties>
</file>